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956B1" w14:paraId="6C6138DC" w14:textId="77777777" w:rsidTr="00AC208F">
        <w:trPr>
          <w:trHeight w:val="340"/>
        </w:trPr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DBDBDB" w:themeFill="accent3" w:themeFillTint="66"/>
            <w:vAlign w:val="center"/>
          </w:tcPr>
          <w:p w14:paraId="0583CA91" w14:textId="01A68B9B" w:rsidR="000956B1" w:rsidRDefault="000956B1" w:rsidP="0032548F">
            <w:pPr>
              <w:jc w:val="center"/>
            </w:pPr>
            <w:r>
              <w:t>Position</w:t>
            </w:r>
          </w:p>
        </w:tc>
        <w:tc>
          <w:tcPr>
            <w:tcW w:w="7745" w:type="dxa"/>
            <w:tcBorders>
              <w:top w:val="nil"/>
              <w:left w:val="nil"/>
              <w:right w:val="nil"/>
            </w:tcBorders>
            <w:shd w:val="clear" w:color="auto" w:fill="FFFEF7"/>
            <w:vAlign w:val="center"/>
          </w:tcPr>
          <w:p w14:paraId="2BFEE343" w14:textId="1217B4F5" w:rsidR="0032548F" w:rsidRPr="00AC208F" w:rsidRDefault="000956B1" w:rsidP="0032548F">
            <w:pPr>
              <w:spacing w:line="276" w:lineRule="auto"/>
              <w:rPr>
                <w:rFonts w:ascii="TheSans-B3Light" w:hAnsi="TheSans-B3Light" w:cs="TheSans-B3Light"/>
                <w:color w:val="4D4D4F"/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Child Safety Officer</w:t>
            </w:r>
          </w:p>
        </w:tc>
      </w:tr>
      <w:tr w:rsidR="000956B1" w14:paraId="6BB276A1" w14:textId="77777777" w:rsidTr="00AC208F">
        <w:tc>
          <w:tcPr>
            <w:tcW w:w="1271" w:type="dxa"/>
            <w:tcBorders>
              <w:left w:val="nil"/>
              <w:right w:val="nil"/>
            </w:tcBorders>
            <w:shd w:val="clear" w:color="auto" w:fill="DBDBDB" w:themeFill="accent3" w:themeFillTint="66"/>
            <w:vAlign w:val="center"/>
          </w:tcPr>
          <w:p w14:paraId="68CF409D" w14:textId="47EC1747" w:rsidR="000956B1" w:rsidRDefault="000956B1" w:rsidP="0032548F">
            <w:pPr>
              <w:jc w:val="center"/>
            </w:pPr>
            <w:r>
              <w:t>Reports to</w:t>
            </w:r>
          </w:p>
        </w:tc>
        <w:tc>
          <w:tcPr>
            <w:tcW w:w="7745" w:type="dxa"/>
            <w:tcBorders>
              <w:left w:val="nil"/>
              <w:right w:val="nil"/>
            </w:tcBorders>
            <w:shd w:val="clear" w:color="auto" w:fill="FFFEF7"/>
            <w:vAlign w:val="center"/>
          </w:tcPr>
          <w:p w14:paraId="71EEA811" w14:textId="72F0BC47" w:rsidR="000956B1" w:rsidRPr="00AC208F" w:rsidRDefault="000956B1" w:rsidP="0032548F">
            <w:pPr>
              <w:spacing w:line="276" w:lineRule="auto"/>
              <w:rPr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Affiliated Association or Club Committee</w:t>
            </w:r>
          </w:p>
        </w:tc>
      </w:tr>
      <w:tr w:rsidR="000956B1" w14:paraId="0BC03CA7" w14:textId="77777777" w:rsidTr="00AC208F">
        <w:tc>
          <w:tcPr>
            <w:tcW w:w="1271" w:type="dxa"/>
            <w:tcBorders>
              <w:left w:val="nil"/>
              <w:right w:val="nil"/>
            </w:tcBorders>
            <w:shd w:val="clear" w:color="auto" w:fill="DBDBDB" w:themeFill="accent3" w:themeFillTint="66"/>
            <w:vAlign w:val="center"/>
          </w:tcPr>
          <w:p w14:paraId="387DF267" w14:textId="6BB174D6" w:rsidR="000956B1" w:rsidRDefault="000956B1" w:rsidP="0032548F">
            <w:pPr>
              <w:jc w:val="center"/>
            </w:pPr>
            <w:r>
              <w:t>Purpose</w:t>
            </w:r>
          </w:p>
        </w:tc>
        <w:tc>
          <w:tcPr>
            <w:tcW w:w="7745" w:type="dxa"/>
            <w:tcBorders>
              <w:left w:val="nil"/>
              <w:right w:val="nil"/>
            </w:tcBorders>
            <w:shd w:val="clear" w:color="auto" w:fill="FFFEF7"/>
            <w:vAlign w:val="center"/>
          </w:tcPr>
          <w:p w14:paraId="58815C22" w14:textId="3285D1ED" w:rsidR="000956B1" w:rsidRPr="00AC208F" w:rsidRDefault="000956B1" w:rsidP="0032548F">
            <w:pPr>
              <w:autoSpaceDE w:val="0"/>
              <w:autoSpaceDN w:val="0"/>
              <w:adjustRightInd w:val="0"/>
              <w:spacing w:line="276" w:lineRule="auto"/>
              <w:rPr>
                <w:rFonts w:ascii="TheSans-B3Light" w:hAnsi="TheSans-B3Light" w:cs="TheSans-B3Light"/>
                <w:color w:val="4D4D4F"/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The Child Safety Officer or Member Protection Information Officer will be the first point of contact for all safeguarding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Children and Young People matters.</w:t>
            </w:r>
          </w:p>
          <w:p w14:paraId="6C3D8664" w14:textId="1A47047E" w:rsidR="000956B1" w:rsidRPr="00AC208F" w:rsidRDefault="000956B1" w:rsidP="0032548F">
            <w:pPr>
              <w:autoSpaceDE w:val="0"/>
              <w:autoSpaceDN w:val="0"/>
              <w:adjustRightInd w:val="0"/>
              <w:spacing w:line="276" w:lineRule="auto"/>
              <w:rPr>
                <w:rFonts w:ascii="TheSans-B3Light" w:hAnsi="TheSans-B3Light" w:cs="TheSans-B3Light"/>
                <w:color w:val="4D4D4F"/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The Child Safety Officer will champion the child safety message and ensure that the Affiliated Association or Club has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adopted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Football West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’s Policy for Safeguarding Children and Young People and that the Affiliated Association or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Club implements practices and procedures in line with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Football </w:t>
            </w:r>
            <w:r w:rsidR="005A6FCD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Australia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’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s </w:t>
            </w:r>
            <w:r w:rsidR="00221A39" w:rsidRPr="00931B89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Safeguarding Policy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for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Affiliated Associations and Clubs.</w:t>
            </w:r>
          </w:p>
          <w:p w14:paraId="52C93342" w14:textId="3BEE3F03" w:rsidR="0032548F" w:rsidRPr="00AC208F" w:rsidRDefault="000956B1" w:rsidP="0032548F">
            <w:pPr>
              <w:spacing w:line="276" w:lineRule="auto"/>
              <w:rPr>
                <w:rFonts w:ascii="TheSans-B3Light" w:hAnsi="TheSans-B3Light" w:cs="TheSans-B3Light"/>
                <w:color w:val="4D4D4F"/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The Child Safety Officer must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,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</w:t>
            </w:r>
            <w:proofErr w:type="gramStart"/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at all times</w:t>
            </w:r>
            <w:proofErr w:type="gramEnd"/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,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hold a valid Working with Children Check or Blue Card as the case may be.</w:t>
            </w:r>
          </w:p>
        </w:tc>
      </w:tr>
      <w:tr w:rsidR="000956B1" w14:paraId="6376B594" w14:textId="77777777" w:rsidTr="00AC208F">
        <w:tc>
          <w:tcPr>
            <w:tcW w:w="1271" w:type="dxa"/>
            <w:tcBorders>
              <w:left w:val="nil"/>
              <w:right w:val="nil"/>
            </w:tcBorders>
            <w:shd w:val="clear" w:color="auto" w:fill="DBDBDB" w:themeFill="accent3" w:themeFillTint="66"/>
            <w:vAlign w:val="center"/>
          </w:tcPr>
          <w:p w14:paraId="68E385B1" w14:textId="00D32CFD" w:rsidR="000956B1" w:rsidRDefault="000956B1" w:rsidP="0032548F">
            <w:pPr>
              <w:jc w:val="center"/>
            </w:pPr>
            <w:r>
              <w:t>Duties</w:t>
            </w:r>
          </w:p>
        </w:tc>
        <w:tc>
          <w:tcPr>
            <w:tcW w:w="7745" w:type="dxa"/>
            <w:tcBorders>
              <w:left w:val="nil"/>
              <w:right w:val="nil"/>
            </w:tcBorders>
            <w:shd w:val="clear" w:color="auto" w:fill="FFFEF7"/>
            <w:vAlign w:val="center"/>
          </w:tcPr>
          <w:p w14:paraId="47D3CC0A" w14:textId="7B6C1116" w:rsidR="000956B1" w:rsidRPr="00AC208F" w:rsidRDefault="000956B1" w:rsidP="0032548F">
            <w:pPr>
              <w:autoSpaceDE w:val="0"/>
              <w:autoSpaceDN w:val="0"/>
              <w:adjustRightInd w:val="0"/>
              <w:spacing w:line="276" w:lineRule="auto"/>
              <w:rPr>
                <w:rFonts w:ascii="TheSans-B3Light" w:hAnsi="TheSans-B3Light" w:cs="TheSans-B3Light"/>
                <w:color w:val="4D4D4F"/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• Communicate and promote</w:t>
            </w:r>
          </w:p>
          <w:p w14:paraId="234764FD" w14:textId="06881A48" w:rsidR="000956B1" w:rsidRPr="00AC208F" w:rsidRDefault="000956B1" w:rsidP="0032548F">
            <w:pPr>
              <w:autoSpaceDE w:val="0"/>
              <w:autoSpaceDN w:val="0"/>
              <w:adjustRightInd w:val="0"/>
              <w:spacing w:line="276" w:lineRule="auto"/>
              <w:rPr>
                <w:rFonts w:ascii="TheSans-B3Light" w:hAnsi="TheSans-B3Light" w:cs="TheSans-B3Light"/>
                <w:color w:val="4D4D4F"/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• </w:t>
            </w:r>
            <w:r w:rsidR="00ED5CF0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Football Australia’s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Policy for Safeguarding</w:t>
            </w:r>
            <w:r w:rsidR="00DE67CD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Member’s</w:t>
            </w:r>
          </w:p>
          <w:p w14:paraId="04FA1116" w14:textId="5DD5246B" w:rsidR="000956B1" w:rsidRPr="00AC208F" w:rsidRDefault="000956B1" w:rsidP="0032548F">
            <w:pPr>
              <w:autoSpaceDE w:val="0"/>
              <w:autoSpaceDN w:val="0"/>
              <w:adjustRightInd w:val="0"/>
              <w:spacing w:line="276" w:lineRule="auto"/>
              <w:rPr>
                <w:rFonts w:ascii="TheSans-B3Light" w:hAnsi="TheSans-B3Light" w:cs="TheSans-B3Light"/>
                <w:color w:val="4D4D4F"/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•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F</w:t>
            </w:r>
            <w:r w:rsidR="00E0601D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ootball Australia’s Member Protection Framework</w:t>
            </w:r>
          </w:p>
          <w:p w14:paraId="037F225C" w14:textId="402FF8E2" w:rsidR="000956B1" w:rsidRPr="00AC208F" w:rsidRDefault="000956B1" w:rsidP="0032548F">
            <w:pPr>
              <w:autoSpaceDE w:val="0"/>
              <w:autoSpaceDN w:val="0"/>
              <w:adjustRightInd w:val="0"/>
              <w:spacing w:line="276" w:lineRule="auto"/>
              <w:rPr>
                <w:rFonts w:ascii="TheSans-B3Light" w:hAnsi="TheSans-B3Light" w:cs="TheSans-B3Light"/>
                <w:color w:val="4D4D4F"/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• </w:t>
            </w:r>
            <w:r w:rsidR="005D0B18"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FW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’s Commitment to Safeguarding </w:t>
            </w:r>
            <w:r w:rsidR="005D0B18"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Football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Participants and all members of the Affiliated Association or Club</w:t>
            </w:r>
          </w:p>
          <w:p w14:paraId="5A25129B" w14:textId="624F97F3" w:rsidR="000956B1" w:rsidRPr="00AC208F" w:rsidRDefault="000956B1" w:rsidP="0032548F">
            <w:pPr>
              <w:autoSpaceDE w:val="0"/>
              <w:autoSpaceDN w:val="0"/>
              <w:adjustRightInd w:val="0"/>
              <w:spacing w:line="276" w:lineRule="auto"/>
              <w:rPr>
                <w:rFonts w:ascii="TheSans-B3Light" w:hAnsi="TheSans-B3Light" w:cs="TheSans-B3Light"/>
                <w:color w:val="4D4D4F"/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• Promote good practice of safeguarding </w:t>
            </w:r>
            <w:r w:rsidR="005467F4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members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within the Affiliated Association or Club, creating</w:t>
            </w:r>
            <w:r w:rsidR="005D0B18"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a welcoming and safe environment for </w:t>
            </w:r>
            <w:r w:rsidR="005467F4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all</w:t>
            </w:r>
          </w:p>
          <w:p w14:paraId="68148C3F" w14:textId="35C06BAE" w:rsidR="000956B1" w:rsidRPr="00AC208F" w:rsidRDefault="000956B1" w:rsidP="0032548F">
            <w:pPr>
              <w:autoSpaceDE w:val="0"/>
              <w:autoSpaceDN w:val="0"/>
              <w:adjustRightInd w:val="0"/>
              <w:spacing w:line="276" w:lineRule="auto"/>
              <w:rPr>
                <w:rFonts w:ascii="TheSans-B3Light" w:hAnsi="TheSans-B3Light" w:cs="TheSans-B3Light"/>
                <w:color w:val="4D4D4F"/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• Encourage and promote an environment where Children, Young People, Parents and Guardians are participants in the</w:t>
            </w:r>
            <w:r w:rsidR="005D0B18"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</w:t>
            </w:r>
            <w:r w:rsidR="00221A39"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decision-making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process</w:t>
            </w:r>
          </w:p>
          <w:p w14:paraId="775541FF" w14:textId="22853034" w:rsidR="000956B1" w:rsidRPr="00AC208F" w:rsidRDefault="000956B1" w:rsidP="0032548F">
            <w:pPr>
              <w:autoSpaceDE w:val="0"/>
              <w:autoSpaceDN w:val="0"/>
              <w:adjustRightInd w:val="0"/>
              <w:spacing w:line="276" w:lineRule="auto"/>
              <w:rPr>
                <w:rFonts w:ascii="TheSans-B3Light" w:hAnsi="TheSans-B3Light" w:cs="TheSans-B3Light"/>
                <w:color w:val="4D4D4F"/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• Be the point of contact for all safeguarding matters</w:t>
            </w:r>
          </w:p>
          <w:p w14:paraId="382BD744" w14:textId="27D88D14" w:rsidR="000956B1" w:rsidRPr="00AC208F" w:rsidRDefault="000956B1" w:rsidP="002551D8">
            <w:pPr>
              <w:autoSpaceDE w:val="0"/>
              <w:autoSpaceDN w:val="0"/>
              <w:adjustRightInd w:val="0"/>
              <w:spacing w:line="276" w:lineRule="auto"/>
              <w:rPr>
                <w:rFonts w:ascii="TheSans-B3Light" w:hAnsi="TheSans-B3Light" w:cs="TheSans-B3Light"/>
                <w:color w:val="4D4D4F"/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• Advise the Committee on roles that require a Working with Children Checks (or Blue Cards) </w:t>
            </w:r>
            <w:r w:rsidR="002551D8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(See the </w:t>
            </w:r>
            <w:hyperlink r:id="rId9" w:history="1">
              <w:r w:rsidR="00D8510D">
                <w:rPr>
                  <w:rStyle w:val="Hyperlink"/>
                  <w:rFonts w:ascii="TheSans-B3Light" w:hAnsi="TheSans-B3Light" w:cs="TheSans-B3Light"/>
                  <w:sz w:val="18"/>
                  <w:szCs w:val="18"/>
                </w:rPr>
                <w:t>Resources &amp; Templates</w:t>
              </w:r>
            </w:hyperlink>
            <w:r w:rsidR="00D8510D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</w:t>
            </w:r>
            <w:r w:rsidR="000E0845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section of FW’s Clubhouse further links/information)</w:t>
            </w:r>
          </w:p>
          <w:p w14:paraId="640D298C" w14:textId="209ADE16" w:rsidR="000956B1" w:rsidRPr="00AC208F" w:rsidRDefault="000956B1" w:rsidP="0032548F">
            <w:pPr>
              <w:autoSpaceDE w:val="0"/>
              <w:autoSpaceDN w:val="0"/>
              <w:adjustRightInd w:val="0"/>
              <w:spacing w:line="276" w:lineRule="auto"/>
              <w:rPr>
                <w:rFonts w:ascii="TheSans-B3Light" w:hAnsi="TheSans-B3Light" w:cs="TheSans-B3Light"/>
                <w:color w:val="4D4D4F"/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• Ensure all paperwork, background checks and Working with Children Checks (or Blue Cards) are completed by</w:t>
            </w:r>
            <w:r w:rsidR="00D8510D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</w:t>
            </w:r>
            <w:r w:rsidR="005D0B18"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Football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Participants, and that all Working with Children Checks (or Blue Cards) are linked to the Affiliated</w:t>
            </w:r>
            <w:r w:rsidR="00D8510D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Association or Club</w:t>
            </w:r>
          </w:p>
          <w:p w14:paraId="6A2F4E1E" w14:textId="17D3A249" w:rsidR="000956B1" w:rsidRPr="00AC208F" w:rsidRDefault="000956B1" w:rsidP="0032548F">
            <w:pPr>
              <w:autoSpaceDE w:val="0"/>
              <w:autoSpaceDN w:val="0"/>
              <w:adjustRightInd w:val="0"/>
              <w:spacing w:line="276" w:lineRule="auto"/>
              <w:rPr>
                <w:rFonts w:ascii="TheSans-B3Light" w:hAnsi="TheSans-B3Light" w:cs="TheSans-B3Light"/>
                <w:color w:val="4D4D4F"/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• Attend all Committee meetings and ensure that safeguarding </w:t>
            </w:r>
            <w:r w:rsidR="00D8510D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members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is a standing agenda item</w:t>
            </w:r>
            <w:r w:rsidR="005D0B18"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for each Committee meeting, with junior </w:t>
            </w:r>
            <w:r w:rsidR="00220BA0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and senior </w:t>
            </w:r>
            <w:r w:rsidR="005D0B18"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football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decisions being made with the safeguarding </w:t>
            </w:r>
            <w:r w:rsidR="00220BA0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policy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in mind</w:t>
            </w:r>
          </w:p>
          <w:p w14:paraId="7B8CCBE3" w14:textId="4B8B64AA" w:rsidR="0032548F" w:rsidRPr="00AC208F" w:rsidRDefault="000956B1" w:rsidP="00220BA0">
            <w:pPr>
              <w:autoSpaceDE w:val="0"/>
              <w:autoSpaceDN w:val="0"/>
              <w:adjustRightInd w:val="0"/>
              <w:spacing w:line="276" w:lineRule="auto"/>
              <w:rPr>
                <w:rFonts w:ascii="TheSans-B3Light" w:hAnsi="TheSans-B3Light" w:cs="TheSans-B3Light"/>
                <w:color w:val="4D4D4F"/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• Ensure all complaints, allegations and/or suspicion of Prohibited Conduct are reported to the Police and/or</w:t>
            </w:r>
            <w:r w:rsidR="00220BA0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Government Agency and the State and Territory</w:t>
            </w:r>
          </w:p>
        </w:tc>
      </w:tr>
      <w:tr w:rsidR="000956B1" w14:paraId="5C8929B6" w14:textId="77777777" w:rsidTr="00AC208F">
        <w:tc>
          <w:tcPr>
            <w:tcW w:w="1271" w:type="dxa"/>
            <w:tcBorders>
              <w:left w:val="nil"/>
              <w:right w:val="nil"/>
            </w:tcBorders>
            <w:shd w:val="clear" w:color="auto" w:fill="DBDBDB" w:themeFill="accent3" w:themeFillTint="66"/>
            <w:vAlign w:val="center"/>
          </w:tcPr>
          <w:p w14:paraId="5C20E12E" w14:textId="7CDC4225" w:rsidR="000956B1" w:rsidRDefault="000956B1" w:rsidP="0032548F">
            <w:pPr>
              <w:jc w:val="center"/>
            </w:pPr>
            <w:r>
              <w:t>Areas of Knowledge</w:t>
            </w:r>
          </w:p>
        </w:tc>
        <w:tc>
          <w:tcPr>
            <w:tcW w:w="774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EF7"/>
            <w:vAlign w:val="center"/>
          </w:tcPr>
          <w:p w14:paraId="55FFCD87" w14:textId="28341018" w:rsidR="005D0B18" w:rsidRPr="00AC208F" w:rsidRDefault="005D0B18" w:rsidP="0032548F">
            <w:pPr>
              <w:autoSpaceDE w:val="0"/>
              <w:autoSpaceDN w:val="0"/>
              <w:adjustRightInd w:val="0"/>
              <w:spacing w:line="276" w:lineRule="auto"/>
              <w:rPr>
                <w:rFonts w:ascii="TheSans-B3Light" w:hAnsi="TheSans-B3Light" w:cs="TheSans-B3Light"/>
                <w:color w:val="4D4D4F"/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• Awareness of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FW’s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Commitment Statement for Safeguarding Children and Young People</w:t>
            </w:r>
          </w:p>
          <w:p w14:paraId="517C9766" w14:textId="0EF81F36" w:rsidR="005D0B18" w:rsidRPr="00AC208F" w:rsidRDefault="005D0B18" w:rsidP="0032548F">
            <w:pPr>
              <w:autoSpaceDE w:val="0"/>
              <w:autoSpaceDN w:val="0"/>
              <w:adjustRightInd w:val="0"/>
              <w:spacing w:line="276" w:lineRule="auto"/>
              <w:rPr>
                <w:rFonts w:ascii="TheSans-B3Light" w:hAnsi="TheSans-B3Light" w:cs="TheSans-B3Light"/>
                <w:color w:val="4D4D4F"/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• Basic awareness of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FW’s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Policy for Safeguarding Children and Young People</w:t>
            </w:r>
          </w:p>
          <w:p w14:paraId="3FEC556F" w14:textId="7AB8DA6D" w:rsidR="005D0B18" w:rsidRPr="00AC208F" w:rsidRDefault="005D0B18" w:rsidP="0032548F">
            <w:pPr>
              <w:autoSpaceDE w:val="0"/>
              <w:autoSpaceDN w:val="0"/>
              <w:adjustRightInd w:val="0"/>
              <w:spacing w:line="276" w:lineRule="auto"/>
              <w:rPr>
                <w:rFonts w:ascii="TheSans-B3Light" w:hAnsi="TheSans-B3Light" w:cs="TheSans-B3Light"/>
                <w:color w:val="4D4D4F"/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• Knowledge and awareness of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FW’s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Looking After Our Kids Code of Behaviour for Affiliated</w:t>
            </w:r>
            <w:r w:rsidR="00220BA0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Associations</w:t>
            </w:r>
            <w:r w:rsidR="00220BA0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and Clubs</w:t>
            </w:r>
          </w:p>
          <w:p w14:paraId="68965AC3" w14:textId="77777777" w:rsidR="005D0B18" w:rsidRPr="00AC208F" w:rsidRDefault="005D0B18" w:rsidP="0032548F">
            <w:pPr>
              <w:autoSpaceDE w:val="0"/>
              <w:autoSpaceDN w:val="0"/>
              <w:adjustRightInd w:val="0"/>
              <w:spacing w:line="276" w:lineRule="auto"/>
              <w:rPr>
                <w:rFonts w:ascii="TheSans-B3Light" w:hAnsi="TheSans-B3Light" w:cs="TheSans-B3Light"/>
                <w:color w:val="4D4D4F"/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• Basic knowledge of different forms of abuse that can occur</w:t>
            </w:r>
          </w:p>
          <w:p w14:paraId="746B898F" w14:textId="5B7DD387" w:rsidR="0032548F" w:rsidRPr="00AC208F" w:rsidRDefault="005D0B18" w:rsidP="0032548F">
            <w:pPr>
              <w:spacing w:line="276" w:lineRule="auto"/>
              <w:rPr>
                <w:rFonts w:ascii="TheSans-B3Light" w:hAnsi="TheSans-B3Light" w:cs="TheSans-B3Light"/>
                <w:color w:val="4D4D4F"/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• Knowledge and awareness of reporting requirements</w:t>
            </w:r>
          </w:p>
        </w:tc>
      </w:tr>
      <w:tr w:rsidR="000956B1" w14:paraId="20ADA3B5" w14:textId="77777777" w:rsidTr="00AC208F">
        <w:tc>
          <w:tcPr>
            <w:tcW w:w="1271" w:type="dxa"/>
            <w:tcBorders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15120136" w14:textId="581E2CCA" w:rsidR="000956B1" w:rsidRDefault="000956B1" w:rsidP="0032548F">
            <w:pPr>
              <w:jc w:val="center"/>
            </w:pPr>
            <w:r>
              <w:t>Training</w:t>
            </w:r>
          </w:p>
        </w:tc>
        <w:tc>
          <w:tcPr>
            <w:tcW w:w="7745" w:type="dxa"/>
            <w:tcBorders>
              <w:left w:val="nil"/>
              <w:bottom w:val="nil"/>
              <w:right w:val="nil"/>
            </w:tcBorders>
            <w:shd w:val="clear" w:color="auto" w:fill="FFFEF7"/>
            <w:vAlign w:val="center"/>
          </w:tcPr>
          <w:p w14:paraId="44499CDC" w14:textId="08F65C5D" w:rsidR="005D0B18" w:rsidRPr="00AC208F" w:rsidRDefault="005D0B18" w:rsidP="0032548F">
            <w:pPr>
              <w:autoSpaceDE w:val="0"/>
              <w:autoSpaceDN w:val="0"/>
              <w:adjustRightInd w:val="0"/>
              <w:spacing w:line="276" w:lineRule="auto"/>
              <w:rPr>
                <w:rFonts w:ascii="TheSans-B3Light" w:hAnsi="TheSans-B3Light" w:cs="TheSans-B3Light"/>
                <w:color w:val="4D4D4F"/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• Sports Integrity Australia / Play by the Rules </w:t>
            </w:r>
            <w:r w:rsidR="0032548F"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Online </w:t>
            </w:r>
            <w:hyperlink r:id="rId10" w:history="1">
              <w:r w:rsidRPr="00AC208F">
                <w:rPr>
                  <w:rStyle w:val="Hyperlink"/>
                  <w:rFonts w:ascii="TheSans-B3Light" w:hAnsi="TheSans-B3Light" w:cs="TheSans-B3Light"/>
                  <w:sz w:val="18"/>
                  <w:szCs w:val="18"/>
                </w:rPr>
                <w:t>Child Protection and Safeguarding Course</w:t>
              </w:r>
            </w:hyperlink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(mandatory)</w:t>
            </w:r>
          </w:p>
          <w:p w14:paraId="6EC54324" w14:textId="7E995BA6" w:rsidR="000956B1" w:rsidRPr="00AC208F" w:rsidRDefault="005D0B18" w:rsidP="0032548F">
            <w:pPr>
              <w:spacing w:line="276" w:lineRule="auto"/>
              <w:rPr>
                <w:sz w:val="18"/>
                <w:szCs w:val="18"/>
              </w:rPr>
            </w:pP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• Member Protection Information Officers </w:t>
            </w:r>
            <w:hyperlink r:id="rId11" w:history="1">
              <w:r w:rsidR="0032548F" w:rsidRPr="00AC208F">
                <w:rPr>
                  <w:rStyle w:val="Hyperlink"/>
                  <w:rFonts w:ascii="TheSans-B3Light" w:hAnsi="TheSans-B3Light" w:cs="TheSans-B3Light"/>
                  <w:sz w:val="18"/>
                  <w:szCs w:val="18"/>
                </w:rPr>
                <w:t>online training</w:t>
              </w:r>
            </w:hyperlink>
            <w:r w:rsidR="0032548F"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 xml:space="preserve"> </w:t>
            </w:r>
            <w:r w:rsidRPr="00AC208F">
              <w:rPr>
                <w:rFonts w:ascii="TheSans-B3Light" w:hAnsi="TheSans-B3Light" w:cs="TheSans-B3Light"/>
                <w:color w:val="4D4D4F"/>
                <w:sz w:val="18"/>
                <w:szCs w:val="18"/>
              </w:rPr>
              <w:t>(recommended)</w:t>
            </w:r>
          </w:p>
        </w:tc>
      </w:tr>
    </w:tbl>
    <w:p w14:paraId="3C00B280" w14:textId="4F70E23C" w:rsidR="005956FC" w:rsidRPr="00D0185C" w:rsidRDefault="005956FC" w:rsidP="00D0185C"/>
    <w:sectPr w:rsidR="005956FC" w:rsidRPr="00D0185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CCC3" w14:textId="77777777" w:rsidR="00D0185C" w:rsidRDefault="00D0185C" w:rsidP="00D0185C">
      <w:pPr>
        <w:spacing w:after="0" w:line="240" w:lineRule="auto"/>
      </w:pPr>
      <w:r>
        <w:separator/>
      </w:r>
    </w:p>
  </w:endnote>
  <w:endnote w:type="continuationSeparator" w:id="0">
    <w:p w14:paraId="1C5F3972" w14:textId="77777777" w:rsidR="00D0185C" w:rsidRDefault="00D0185C" w:rsidP="00D0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-B3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85E3" w14:textId="77777777" w:rsidR="00D0185C" w:rsidRDefault="00D0185C" w:rsidP="00D0185C">
      <w:pPr>
        <w:spacing w:after="0" w:line="240" w:lineRule="auto"/>
      </w:pPr>
      <w:r>
        <w:separator/>
      </w:r>
    </w:p>
  </w:footnote>
  <w:footnote w:type="continuationSeparator" w:id="0">
    <w:p w14:paraId="3159055C" w14:textId="77777777" w:rsidR="00D0185C" w:rsidRDefault="00D0185C" w:rsidP="00D0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28FB" w14:textId="3871CBC8" w:rsidR="00D0185C" w:rsidRPr="00D0185C" w:rsidRDefault="00D0185C" w:rsidP="00D0185C">
    <w:pPr>
      <w:spacing w:line="240" w:lineRule="auto"/>
      <w:jc w:val="both"/>
      <w:rPr>
        <w:rFonts w:ascii="Bahnschrift" w:hAnsi="Bahnschrift"/>
        <w:b/>
        <w:bCs/>
        <w:sz w:val="48"/>
        <w:szCs w:val="48"/>
        <w:lang w:val="en-US"/>
      </w:rPr>
    </w:pPr>
    <w:r w:rsidRPr="00D0185C">
      <w:rPr>
        <w:rFonts w:ascii="Bahnschrift" w:hAnsi="Bahnschrift"/>
        <w:b/>
        <w:bCs/>
        <w:noProof/>
        <w:sz w:val="48"/>
        <w:szCs w:val="48"/>
        <w:lang w:val="en-US"/>
      </w:rPr>
      <w:drawing>
        <wp:anchor distT="0" distB="0" distL="114300" distR="114300" simplePos="0" relativeHeight="251664896" behindDoc="0" locked="0" layoutInCell="1" allowOverlap="1" wp14:anchorId="6F5B957D" wp14:editId="24B1BFD4">
          <wp:simplePos x="0" y="0"/>
          <wp:positionH relativeFrom="column">
            <wp:posOffset>3248025</wp:posOffset>
          </wp:positionH>
          <wp:positionV relativeFrom="paragraph">
            <wp:posOffset>-285115</wp:posOffset>
          </wp:positionV>
          <wp:extent cx="3259455" cy="1501775"/>
          <wp:effectExtent l="0" t="0" r="0" b="3175"/>
          <wp:wrapThrough wrapText="bothSides">
            <wp:wrapPolygon edited="0">
              <wp:start x="0" y="0"/>
              <wp:lineTo x="0" y="21372"/>
              <wp:lineTo x="21461" y="21372"/>
              <wp:lineTo x="21461" y="0"/>
              <wp:lineTo x="0" y="0"/>
            </wp:wrapPolygon>
          </wp:wrapThrough>
          <wp:docPr id="1" name="Picture 1" descr="Text,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9455" cy="150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85C">
      <w:rPr>
        <w:rFonts w:ascii="Bahnschrift" w:hAnsi="Bahnschrift"/>
        <w:b/>
        <w:bCs/>
        <w:sz w:val="48"/>
        <w:szCs w:val="48"/>
        <w:lang w:val="en-US"/>
      </w:rPr>
      <w:t>Child Safety Officer</w:t>
    </w:r>
  </w:p>
  <w:p w14:paraId="4360DD15" w14:textId="77777777" w:rsidR="00D0185C" w:rsidRPr="00D0185C" w:rsidRDefault="00D0185C" w:rsidP="00D0185C">
    <w:pPr>
      <w:spacing w:line="240" w:lineRule="auto"/>
      <w:jc w:val="both"/>
      <w:rPr>
        <w:rFonts w:ascii="Bahnschrift" w:hAnsi="Bahnschrift"/>
        <w:b/>
        <w:bCs/>
        <w:sz w:val="48"/>
        <w:szCs w:val="48"/>
        <w:lang w:val="en-US"/>
      </w:rPr>
    </w:pPr>
    <w:r w:rsidRPr="00D0185C">
      <w:rPr>
        <w:rFonts w:ascii="Bahnschrift" w:hAnsi="Bahnschrift"/>
        <w:b/>
        <w:bCs/>
        <w:sz w:val="48"/>
        <w:szCs w:val="48"/>
        <w:lang w:val="en-US"/>
      </w:rPr>
      <w:t>Position Description</w:t>
    </w:r>
  </w:p>
  <w:p w14:paraId="1CBB3311" w14:textId="32CE8930" w:rsidR="00D0185C" w:rsidRDefault="00D01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5C"/>
    <w:rsid w:val="000956B1"/>
    <w:rsid w:val="000E0845"/>
    <w:rsid w:val="00143E07"/>
    <w:rsid w:val="00220BA0"/>
    <w:rsid w:val="00221A39"/>
    <w:rsid w:val="002551D8"/>
    <w:rsid w:val="0032548F"/>
    <w:rsid w:val="005467F4"/>
    <w:rsid w:val="005956FC"/>
    <w:rsid w:val="005A6FCD"/>
    <w:rsid w:val="005D0B18"/>
    <w:rsid w:val="00907169"/>
    <w:rsid w:val="00931B89"/>
    <w:rsid w:val="00AA16DA"/>
    <w:rsid w:val="00AC208F"/>
    <w:rsid w:val="00D0185C"/>
    <w:rsid w:val="00D8510D"/>
    <w:rsid w:val="00DE67CD"/>
    <w:rsid w:val="00E0601D"/>
    <w:rsid w:val="00E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8F750"/>
  <w15:chartTrackingRefBased/>
  <w15:docId w15:val="{E4442FDD-8490-4654-987F-663729E5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5C"/>
  </w:style>
  <w:style w:type="paragraph" w:styleId="Footer">
    <w:name w:val="footer"/>
    <w:basedOn w:val="Normal"/>
    <w:link w:val="FooterChar"/>
    <w:uiPriority w:val="99"/>
    <w:unhideWhenUsed/>
    <w:rsid w:val="00D01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5C"/>
  </w:style>
  <w:style w:type="table" w:styleId="TableGrid">
    <w:name w:val="Table Grid"/>
    <w:basedOn w:val="TableNormal"/>
    <w:uiPriority w:val="39"/>
    <w:rsid w:val="0009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laybytherules.net.au/online-courses/mpio-online-cours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learning.sportintegrity.gov.au/login/index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ootballwest.com.au/club-resourc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45F011BA1AA4EAFD952D9908D633E" ma:contentTypeVersion="2" ma:contentTypeDescription="Create a new document." ma:contentTypeScope="" ma:versionID="5b4b5745c9a9174ee1397ea4746e18d5">
  <xsd:schema xmlns:xsd="http://www.w3.org/2001/XMLSchema" xmlns:xs="http://www.w3.org/2001/XMLSchema" xmlns:p="http://schemas.microsoft.com/office/2006/metadata/properties" xmlns:ns3="4bd8713b-09fb-4f9f-bf86-84d2dc27d177" targetNamespace="http://schemas.microsoft.com/office/2006/metadata/properties" ma:root="true" ma:fieldsID="371e628c7514ff8ef78c0371614ab17f" ns3:_="">
    <xsd:import namespace="4bd8713b-09fb-4f9f-bf86-84d2dc27d1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8713b-09fb-4f9f-bf86-84d2dc27d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2DDBA-56C7-49E8-8886-EFBC3DB12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8713b-09fb-4f9f-bf86-84d2dc27d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405BD-ECD8-4B53-9ADA-0CB2E9063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1F58C-BDB6-4356-9E08-2CF75AA252FE}">
  <ds:schemaRefs>
    <ds:schemaRef ds:uri="http://schemas.microsoft.com/office/2006/documentManagement/types"/>
    <ds:schemaRef ds:uri="4bd8713b-09fb-4f9f-bf86-84d2dc27d177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Glanville</dc:creator>
  <cp:keywords/>
  <dc:description/>
  <cp:lastModifiedBy>Bianca Glanville</cp:lastModifiedBy>
  <cp:revision>2</cp:revision>
  <dcterms:created xsi:type="dcterms:W3CDTF">2021-12-13T07:40:00Z</dcterms:created>
  <dcterms:modified xsi:type="dcterms:W3CDTF">2021-12-13T07:40:00Z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0x01010062245F011BA1AA4EAFD952D9908D633E</vt:lpwstr>
  </property>
</Properties>
</file>